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DB.2011.273 - 277 vom 17. Februar 2012</w:t>
      </w:r>
    </w:p>
    <w:p>
      <w:r>
        <w:t>ZH Steuerrekursgericht, 2012-02-17, DE</w:t>
      </w:r>
    </w:p>
    <w:p>
      <w:r>
        <w:rPr>
          <w:b/>
        </w:rPr>
        <w:t xml:space="preserve">Quelle: </w:t>
      </w:r>
      <w:r>
        <w:t>https://mcp.opencaselaw.ch/entscheid/zh_steuerrekursgericht_DB.2011.273 - 277</w:t>
      </w:r>
    </w:p>
    <w:p>
      <w:r>
        <w:t>FR: ZH_STEUERREKURSGERICHT DB.2011.273 - 277 du 17 février 2012</w:t>
      </w:r>
    </w:p>
    <w:p>
      <w:r>
        <w:t>IT: ZH_STEUERREKURSGERICHT DB.2011.273 - 277 del 17 febbraio 2012</w:t>
      </w:r>
    </w:p>
    <w:p>
      <w:pPr>
        <w:pStyle w:val="Heading2"/>
      </w:pPr>
      <w:r>
        <w:t>Regeste</w:t>
      </w:r>
    </w:p>
    <w:p>
      <w:r>
        <w:t>Zuwendungen einer Gesellschaft an eine Kadervorsorge, welche sich bei der Einschätzung der Gesellschaft als BVG-widrig erwiesen haben und deshalb nicht zum Abzug gebracht werden durften, stellen sich beim Anteilsinhaber als geldwerte Leistungen heraus. Aber selbst wenn diese rechtliche Würdigung nicht zutreffen sollte, wären sie als Lohnnebenleistungen steuerbar.</w:t>
      </w:r>
    </w:p>
    <w:p>
      <w:pPr>
        <w:pStyle w:val="Heading2"/>
      </w:pPr>
      <w:r>
        <w:t>Erwägungen</w:t>
      </w:r>
    </w:p>
    <w:p>
      <w:r>
        <w:rPr>
          <w:b/>
        </w:rPr>
        <w:t>E. 1</w:t>
      </w:r>
    </w:p>
    <w:p>
      <w:r>
        <w:t>A,</w:t>
      </w:r>
    </w:p>
    <w:p>
      <w:r>
        <w:rPr>
          <w:b/>
        </w:rPr>
        <w:t>E. 2</w:t>
      </w:r>
    </w:p>
    <w:p>
      <w:r>
        <w:t>Staat Zürich, Rekursgegner, vertreten durch das kant. Steueramt, Division Bau, Bändliweg 21, Postfach, 8090 Zürich, betreffend Direkte Bundessteuer 2002 - 2006 sowie Staats- und Gemeindesteuern 2002 – 2006</w:t>
      </w:r>
    </w:p>
    <w:p>
      <w:r>
        <w:t>- 2 - hat sich ergeben: A. Der 1938 geborene Pflichtige war 2002 Mehrheitsaktionär und Verwal- tungsratspräsident der C AG. Die C AG schloss 2002 mit der BVG-Sammelstiftung der Rentenanstalt (heute: SwissLife) für das Kader einen Vorsorgeplan ab. Im Rahmen dieses Plans wurden für den Pflichtigen sehr hohe Arbeitgeber-Beiträge geleistet. Am 27. November 2006 zahlte ihm die SwissLife eine Kapitalleistung von Fr. 776'714.- aus, und am 19. März 2007 wurde diese bei ihm vom kantonalen Steueramt gestützt auf Art. 38 des Bundesgesetzes über die direkte Bundessteuer vom 14. Dezember 1990 (DBG) bzw. § 37 des Steuergesetzes vom 8. Juni 1997 (StG) als Kapitalleistung aus Vorsorge separat besteuert. Bei der Einschätzung der C AG am 8. August 2008 stellte das kantonale Steueramt in Bezug auf die Steuerperioden 2002 bis 2005 fest, dass die betreffenden Arbeitgeberbeiträge an die Kadervorsorge ohne reglementarische Grundlagen erfolgt und deshalb als verdeckte Gewinnausschüttungen aufzurechnen seien, soweit sie ei- nen geschätzten Betrag überschritten. Im darauf folgenden Rechtsmittelverfahren wies die Steuerrekurskommission I (heute Steuerrekursgericht) die hiergegen erhobenen Rechtsmittel der C AG ab, verbunden mit einer Höhereinschätzung (StRK I, 29. November 2010, 1 ST.2010.53 - 56/1 DB.2010.44 - 47). Die Rekurskommission erwog, dass die Beitragsregelung der Kaderversicherung in schwerwiegender Weise gegen den Grundsatz der Gleichbehandlung verstosse, weshalb die betreffenden Reglementsbestimmungen nicht zur Anwendung gelangten. Da es den Steuerbehör- den nicht möglich sei, die dadurch entstehende Lücke mit einer eigenen Lösung zu füllen, welche ihrerseits den vorsorgerechtlichen Grundsätzen entspreche, seien die Arbeitgeberbeiträge gesamthaft aufzurechnen. Dieser Entscheid erwuchs unangefoch- ten in Rechtskraft. Mit Einschätzungsentscheiden für die Steuerperioden 2002 - 2005 vom 19. April 2011 nahm der Steuerkommissär Bezug auf die Aufrechnungen bei der C AG und rechnete den Pflichtigen beim Einkommen die Beiträge an die erwähnte Kaderver- sicherung als geldwerte Leistungen auf. Weiter verweigerte er den Abzug der Arbeit- nehmerbeiträge, rechnete Zinsen auf dem bei der Pensionskasse angehäuften Kapital hinzu und verteilte dieses Kapital (geschätzt) auf die Steuerperioden. Am 10. Oktober 2011 erging die Einschätzung für die Staats- und Gemeindesteuern 2006 bzw. direkte 1 DB.2011.273 – 277 1 ST.2011.358 – 362</w:t>
      </w:r>
    </w:p>
    <w:p>
      <w:r>
        <w:t>- 3 - Bundessteuer 2006; darin sah der Steuerkommissär entsprechende Aufrechnungen vor. Am 12. Mai 2011 bzw. 1. November 2011 wurden die Schlussrechnun- gen/Veranlagungsverfügungen direkte Bundessteuer versandt. B. Hiergegen liessen die Pflichtigen am 16./24. Mai bzw. 7. November 2011 je Einsprache erheben und beantragen, auf die Aufrechnungen zu verzichten. Das kanto- nale Steueramt wies diese am 8./17. November 2011 im Wesentlichen ab, korrigierte dabei aber die aufgerechneten Beträge, ferner bezog es neu zusätzlich auch die Risi- kobeiträge für die Kaderversicherung ein, woraus sich folgende Aufrechnungen erga- ben: 2002 2003 2004 2005 2006 Fr. Fr. Fr. Fr. Fr. Sparbeiträge 140'349.- 144'082.- 149'527.- 149'057.- 136'635.- Risikobeiträge 19'705.- 25'860.- 18'423.- 7'690.- 3'373.- Zinsen 0.- 5'614.- 11'602.- 18'047.- 21'801.- Total 160'054.- 175'556.- 179'552.- 174'794.- 161'809.-. Insgesamt lauteten die Steuerfaktoren wie folgt (Höhereinschätzung bei den Steuerperioden 2002 - 2005): (…) C. Hiergegen liessen die Pflichtigen am 8. Dezember 2011 Beschwerde bzw. Rekurs erheben und beantragen, sie – bei unbestrittenem Vermögen – mit folgenden Faktoren einzuschätzen: (…) Eventualiter seien die Akten zur Ergänzung der Untersuchung an die Vorin- stanz zurückzuweisen, alles unter Kosten- und Entschädigungsfolgen zulasten der Beschwerdegegnerin/des Rekursgegners. Zur Begründung führten sie aus, im Verfah- ren betreffend die C AG sei die Frage der verdeckten Gewinnausschüttung gar nicht geprüft worden, weshalb die Steuerbehörden aus diesem Entscheid beweisrechtlich nichts zu ihren Gunsten ableiten könnten. Sie hätten deshalb das Vorliegen einer ver- 1 DB.2011.273 – 277 1 ST.2011.358 – 362</w:t>
      </w:r>
    </w:p>
    <w:p>
      <w:r>
        <w:t>- 4 - deckten Gewinnausschüttung darzutun und nachzuweisen. Diesbezüglich fehle es am Nachweis, dass die Leistung der C AG ohne Gegenleistung erfolgt sei, da die Vorsor- gelösung durchaus adäquat zur Leistung des Pflichtigen als langjährigem Arbeitneh- mer, Unternehmer und Patron der Gesellschaft gewesen sei. Zudem sei die Begünsti- gung für die Organe der C AG nicht erkennbar gewesen, handle es sich bei der SwissLife doch um eine anerkannte Trägerin der Vorsorge. Die Aufrechnung leide zu- dem an einem inhaltlichen Widerspruch, da die Steuerbehörden zur Begründung auf das Beteiligungsverhältnis abgestellt habe und demnach die Aufrechnungen dem Akti- enbesitz entsprechen müssten; diese habe aber 2002 bis 2006 von 49,3% auf 0% ab- genommen; dennoch hätten die Steuerbehörden den gesamten Betrag aufgerechnet. Gehe man von Arbeitseinkommen aus, stelle sich die Frage, ob dieses nicht als Kapi- talabfindung des Arbeitgebers aus Anlass des Austritts des Pflichtigen zu erfassen sei; diesfalls sei die Besteuerung mit der separaten aktenkundigen Jahressteuer 2006 be- reits erfolgt. Weiter könnten die Pflichtigen diesfalls die Leistungen als Beiträge an die berufliche Vorsorge abziehen. Das kantonale Steueramt schloss in seiner Rekurs-/Beschwerdeantwort vom</w:t>
      </w:r>
    </w:p>
    <w:p>
      <w:r>
        <w:rPr>
          <w:b/>
        </w:rPr>
        <w:t>E. 4</w:t>
      </w:r>
    </w:p>
    <w:p>
      <w:r>
        <w:t>Die Pflichtigen machen weiter geltend, dass die Einzahlungen insgesamt, eventualiter zumindest im Umfang der Arbeitnehmerbeiträge gemäss Lohnausweis, als Beiträge an die berufliche Vorsorge abziehbar seien. Von den Einkünften werden laut Art. 33 Abs. 1 lit. d DBG bzw. § 31 Abs. 1 lit. d StG die gemäss Gesetz, Statut oder Reglement geleisteten Einlagen, Prämien und Beiträge zum Erwerb von Ansprüchen aus Einrichtungen der beruflichen Vorsorge abgezogen. Diese Bestimmungen vollziehen die bundesrechtliche Vorschrift von Art. 81 Abs. 2 des Bundesgesetzes über die berufliche Alters-, Hinterlassenen- und Invalidenvorsorge vom 25. Juni 1982 (BVG), wonach die von den Arbeitnehmern und 1 DB.2011.273 – 277 1 ST.2011.358 – 362</w:t>
      </w:r>
    </w:p>
    <w:p>
      <w:r>
        <w:t>- 14 - Selbstständigerwerbenden nach Gesetz oder reglementarischen Bestimmungen ge- leisteten Beiträge an Vorsorgeeinrichtungen bei den direkten Steuern des Bundes, der Kantone und Gemeinden abziehbar sind. Abzugsfähig sind dabei nicht nur die ordentli- chen Beiträge an die Vorsorgeeinrichtung, sondern auch die Beiträge für den Einkauf von Lohnerhöhungen, von Beitragsjahren, von Vorfinanzierungen für Frühpensionie- rungen oder von im Rahmen einer Scheidung übertragenen Austrittsleistungen (Rich- ner/Frei/Kaufmann/Meuter, Art. 33 N 81 DBG und § 31 N 79 StG; RB 1996 Nr. 48; VGr, 23. Januar 2002 = StE 2002 B 27.1 Nr. 26). Das Vorsorgewerk der SwissLife hat sich indessen als nicht BVG-konform erwiesen. Beiträgen an diese Einrichtung geht damit die Abzugsfähigkeit von Gesetzes wegen ab. Es wäre widersprüchlich, wenn diesbezüglich die Einzahlungen des Arbeit- nehmers bzw. Aktionärs anders behandelt würden als solche des Arbeitgebers. Viel- mehr sind sie als Lebenshaltungskosten im Sinn von Art. 34 lit. a DBG bzw. § 33 lit. a StG zu qualifizieren, welche grundsätzlich nicht abzugsfähig sind, zumal eine andere gesetzliche Bestimmung, welche einen Abzug gestattete, nicht erkennbar ist. Schliess- lich haben die Pflichtigen auch den Versicherungsprämienabzug von Art. 33 Abs. 1 lit. g DBG bzw. § 31 Abs. 1 lit. g StG bereits vollständig beansprucht. In Bezug auf die Höhe der Arbeitnehmerbeiträge gemäss den Verzeichnissen der Swisslife ist indessen festzustellen, dass diese die BVG-Abzüge gemäss den Lohnausweisen übersteigen (T-act. 103/16 bzw. 103/16 "Jahrespersonalbeitrag"). Die Differenz erklärt sich indessen laut Schreiben vom 9. September 2011 aus der Über- nahme der Arbeitnehmer-Beiträge durch die C AG in Form von so genannten "BVG- Ferien" (T-act. 103/18). Soweit diese Beiträge demnach durch die C AG bezahlt wur- den, liegt ebenfalls eine geldwerte Leistung bzw. eine Lohnnebenleistung vor. Die Auf- rechnung entspricht somit im Ergebnis den gesetzlichen Vorgaben und ist zu bestäti- gen.</w:t>
      </w:r>
    </w:p>
    <w:p>
      <w:r>
        <w:rPr>
          <w:b/>
        </w:rPr>
        <w:t>E. 5</w:t>
      </w:r>
    </w:p>
    <w:p>
      <w:r>
        <w:t>Gestützt auf diese Erwägungen sind Beschwerde und Rekurs abzuweisen. Ausgangsgemäss sind die Verfahrenskosten den Pflichtigen aufzuerlegen (Art. 144 Abs. 1 DBG und § 151 Abs. 1 StG) und ist ihnen keine Parteientschädigung zuzuspre- chen (§ 152 StG i.V.m. § 17 Abs. 2 des Verwaltungsrechtspflegegesetzes vom 24. Mai 1959/8. Juni 1997 sowie Art. 144 Abs. 4 DBG i.V.m. Art. 64 Abs. 1 - 3 des Bundesgesetzes über das Verwaltungsverfahren vom 20. Dezember 1968). 1 DB.2011.273 – 277 1 ST.2011.358 – 362</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